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ascii="方正黑体简体" w:hAnsi="方正黑体简体" w:eastAsia="方正黑体简体" w:cs="方正黑体简体"/>
          <w:szCs w:val="28"/>
        </w:rPr>
      </w:pPr>
      <w:r>
        <w:rPr>
          <w:rFonts w:hint="eastAsia" w:ascii="方正黑体简体" w:hAnsi="方正黑体简体" w:eastAsia="方正黑体简体" w:cs="方正黑体简体"/>
          <w:szCs w:val="28"/>
          <w:lang w:val="en-US" w:eastAsia="zh-CN"/>
        </w:rPr>
        <w:t>附件</w:t>
      </w:r>
      <w:r>
        <w:rPr>
          <w:rFonts w:hint="eastAsia" w:eastAsia="方正黑体简体"/>
          <w:szCs w:val="28"/>
        </w:rPr>
        <w:t>2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共青团培育优秀入党积极分子情况记录表</w:t>
      </w:r>
    </w:p>
    <w:bookmarkEnd w:id="0"/>
    <w:p>
      <w:pPr>
        <w:ind w:firstLine="0" w:firstLineChars="0"/>
        <w:jc w:val="left"/>
      </w:pPr>
      <w:r>
        <w:rPr>
          <w:rFonts w:hint="eastAsia" w:ascii="方正黑体简体" w:hAnsi="方正黑体简体" w:eastAsia="方正黑体简体" w:cs="方正黑体简体"/>
          <w:sz w:val="24"/>
        </w:rPr>
        <w:t>入党积极分子姓名：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           所在团支部：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</w:t>
      </w:r>
    </w:p>
    <w:tbl>
      <w:tblPr>
        <w:tblStyle w:val="4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201"/>
        <w:gridCol w:w="2033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5485" w:type="dxa"/>
            <w:gridSpan w:val="2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道德品行</w:t>
            </w:r>
          </w:p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发挥</w:t>
            </w:r>
            <w:r>
              <w:rPr>
                <w:rFonts w:hint="eastAsia" w:ascii="方正楷体简体" w:eastAsia="方正楷体简体"/>
                <w:kern w:val="0"/>
                <w:sz w:val="24"/>
              </w:rPr>
              <w:t>作</w:t>
            </w: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9118" w:type="dxa"/>
            <w:gridSpan w:val="4"/>
            <w:vAlign w:val="center"/>
          </w:tcPr>
          <w:p>
            <w:pPr>
              <w:ind w:firstLine="0" w:firstLineChars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优秀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合格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不合格 </w:t>
            </w:r>
          </w:p>
          <w:p>
            <w:pPr>
              <w:ind w:firstLine="5520" w:firstLineChars="23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 xml:space="preserve">团支部书记签字：            </w:t>
            </w:r>
          </w:p>
          <w:p>
            <w:pPr>
              <w:pStyle w:val="2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年  月  日   </w:t>
            </w:r>
          </w:p>
        </w:tc>
      </w:tr>
    </w:tbl>
    <w:p>
      <w:pPr>
        <w:spacing w:before="156" w:beforeLines="50" w:line="400" w:lineRule="exact"/>
        <w:ind w:firstLine="0" w:firstLineChars="0"/>
        <w:outlineLvl w:val="0"/>
        <w:rPr>
          <w:rFonts w:cs="方正仿宋简体"/>
          <w:sz w:val="24"/>
        </w:rPr>
      </w:pPr>
      <w:r>
        <w:rPr>
          <w:rFonts w:hint="eastAsia" w:cs="方正仿宋简体"/>
          <w:sz w:val="24"/>
        </w:rPr>
        <w:t>注：</w:t>
      </w:r>
      <w:r>
        <w:rPr>
          <w:sz w:val="24"/>
        </w:rPr>
        <w:t>1.</w:t>
      </w:r>
      <w:r>
        <w:rPr>
          <w:rFonts w:hint="eastAsia" w:cs="方正仿宋简体"/>
          <w:sz w:val="24"/>
        </w:rPr>
        <w:t>任何一项被评为“不合格”，则综合评价结果为“不合格”；</w:t>
      </w:r>
    </w:p>
    <w:p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2.“基本合格”项达到2个，</w:t>
      </w:r>
      <w:r>
        <w:rPr>
          <w:rFonts w:hint="eastAsia" w:cs="方正仿宋简体"/>
          <w:sz w:val="24"/>
        </w:rPr>
        <w:t>则综合评价结果为“不合格”；</w:t>
      </w:r>
    </w:p>
    <w:p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3.只有“优秀”项达到5个，</w:t>
      </w:r>
      <w:r>
        <w:rPr>
          <w:rFonts w:hint="eastAsia" w:cs="方正仿宋简体"/>
          <w:sz w:val="24"/>
        </w:rPr>
        <w:t>综合评价结果才可评为“优秀”；</w:t>
      </w:r>
    </w:p>
    <w:p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4.“优秀”项不足5个，综合评价结果最高只能评为“合格”。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zE4MGExZWQ3NWVlMTljYjYzMzBmYmVhMzMzOGMifQ=="/>
  </w:docVars>
  <w:rsids>
    <w:rsidRoot w:val="00000000"/>
    <w:rsid w:val="29236B0E"/>
    <w:rsid w:val="59256A9C"/>
    <w:rsid w:val="5C790F7A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stitle1"/>
    <w:qFormat/>
    <w:uiPriority w:val="0"/>
    <w:rPr>
      <w:rFonts w:ascii="Times New Roman" w:hAnsi="Times New Roman" w:eastAsia="宋体" w:cs="Times New Roman"/>
      <w:sz w:val="38"/>
      <w:szCs w:val="3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2023-09-15T02:26:16Z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074E5B8099334A0F898C636519EF167F_13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